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706C6" w14:textId="77777777" w:rsidR="00D33379" w:rsidRPr="006459BC" w:rsidRDefault="00D33379" w:rsidP="00B332FD">
      <w:pPr>
        <w:jc w:val="center"/>
        <w:rPr>
          <w:b/>
          <w:sz w:val="28"/>
          <w:szCs w:val="28"/>
          <w:u w:val="single"/>
        </w:rPr>
      </w:pPr>
      <w:bookmarkStart w:id="0" w:name="_Hlk522719420"/>
      <w:r w:rsidRPr="006459BC">
        <w:rPr>
          <w:b/>
          <w:sz w:val="28"/>
          <w:szCs w:val="28"/>
          <w:u w:val="single"/>
        </w:rPr>
        <w:t>Cognitive interviewin</w:t>
      </w:r>
      <w:r w:rsidR="00B16328">
        <w:rPr>
          <w:b/>
          <w:sz w:val="28"/>
          <w:szCs w:val="28"/>
          <w:u w:val="single"/>
        </w:rPr>
        <w:t>g (CI)</w:t>
      </w:r>
      <w:r w:rsidR="00937432">
        <w:rPr>
          <w:b/>
          <w:sz w:val="28"/>
          <w:szCs w:val="28"/>
          <w:u w:val="single"/>
        </w:rPr>
        <w:t xml:space="preserve"> </w:t>
      </w:r>
      <w:r w:rsidR="00B16328">
        <w:rPr>
          <w:b/>
          <w:sz w:val="28"/>
          <w:szCs w:val="28"/>
          <w:u w:val="single"/>
        </w:rPr>
        <w:t>- to identify</w:t>
      </w:r>
      <w:r w:rsidR="006459BC" w:rsidRPr="006459BC">
        <w:rPr>
          <w:b/>
          <w:sz w:val="28"/>
          <w:szCs w:val="28"/>
          <w:u w:val="single"/>
        </w:rPr>
        <w:t xml:space="preserve"> </w:t>
      </w:r>
      <w:r w:rsidR="00B6650D">
        <w:rPr>
          <w:b/>
          <w:sz w:val="28"/>
          <w:szCs w:val="28"/>
          <w:u w:val="single"/>
        </w:rPr>
        <w:t>sources of interpretation dissonance</w:t>
      </w:r>
      <w:r w:rsidR="00B16328">
        <w:rPr>
          <w:b/>
          <w:sz w:val="28"/>
          <w:szCs w:val="28"/>
          <w:u w:val="single"/>
        </w:rPr>
        <w:t xml:space="preserve"> in</w:t>
      </w:r>
      <w:r w:rsidR="00937432">
        <w:rPr>
          <w:b/>
          <w:sz w:val="28"/>
          <w:szCs w:val="28"/>
          <w:u w:val="single"/>
        </w:rPr>
        <w:t xml:space="preserve"> </w:t>
      </w:r>
      <w:r w:rsidR="00937432" w:rsidRPr="00937432">
        <w:rPr>
          <w:b/>
          <w:sz w:val="28"/>
          <w:szCs w:val="28"/>
          <w:u w:val="single"/>
        </w:rPr>
        <w:t>in patient-reported outcome measures</w:t>
      </w:r>
      <w:r w:rsidR="00937432">
        <w:rPr>
          <w:b/>
          <w:sz w:val="28"/>
          <w:szCs w:val="28"/>
          <w:u w:val="single"/>
        </w:rPr>
        <w:t xml:space="preserve"> (PRO)</w:t>
      </w:r>
      <w:r w:rsidR="00B16328">
        <w:rPr>
          <w:b/>
          <w:sz w:val="28"/>
          <w:szCs w:val="28"/>
          <w:u w:val="single"/>
        </w:rPr>
        <w:t xml:space="preserve"> </w:t>
      </w:r>
      <w:r w:rsidR="00D8512E">
        <w:rPr>
          <w:b/>
          <w:sz w:val="28"/>
          <w:szCs w:val="28"/>
          <w:u w:val="single"/>
        </w:rPr>
        <w:softHyphen/>
      </w:r>
      <w:r w:rsidR="00D8512E">
        <w:rPr>
          <w:b/>
          <w:sz w:val="28"/>
          <w:szCs w:val="28"/>
          <w:u w:val="single"/>
        </w:rPr>
        <w:softHyphen/>
      </w:r>
      <w:r w:rsidR="00D8512E">
        <w:rPr>
          <w:b/>
          <w:sz w:val="28"/>
          <w:szCs w:val="28"/>
          <w:u w:val="single"/>
        </w:rPr>
        <w:softHyphen/>
      </w:r>
      <w:r w:rsidR="00D8512E">
        <w:rPr>
          <w:b/>
          <w:sz w:val="28"/>
          <w:szCs w:val="28"/>
          <w:u w:val="single"/>
        </w:rPr>
        <w:softHyphen/>
      </w:r>
      <w:r w:rsidR="00D8512E">
        <w:rPr>
          <w:b/>
          <w:sz w:val="28"/>
          <w:szCs w:val="28"/>
          <w:u w:val="single"/>
        </w:rPr>
        <w:softHyphen/>
      </w:r>
    </w:p>
    <w:p w14:paraId="3FCB9A4B" w14:textId="77777777" w:rsidR="00466808" w:rsidRPr="00186308" w:rsidRDefault="000F2FD6" w:rsidP="00B332FD">
      <w:pPr>
        <w:jc w:val="center"/>
      </w:pPr>
      <w:r w:rsidRPr="00186308">
        <w:t xml:space="preserve">By: </w:t>
      </w:r>
      <w:r w:rsidR="00E47900" w:rsidRPr="00186308">
        <w:t>JC MacDermid</w:t>
      </w:r>
      <w:r w:rsidRPr="00186308">
        <w:t>,</w:t>
      </w:r>
      <w:r w:rsidR="00D8512E" w:rsidRPr="00186308">
        <w:t xml:space="preserve"> PhD</w:t>
      </w:r>
    </w:p>
    <w:p w14:paraId="00EB0A37" w14:textId="77777777" w:rsidR="00466808" w:rsidRPr="00186308" w:rsidRDefault="00466808" w:rsidP="000F2FD6">
      <w:pPr>
        <w:jc w:val="both"/>
      </w:pPr>
      <w:r w:rsidRPr="00186308">
        <w:t>Interview approaches</w:t>
      </w:r>
      <w:r w:rsidR="00E47900" w:rsidRPr="00186308">
        <w:t xml:space="preserve"> in cognitive interviewing </w:t>
      </w:r>
      <w:r w:rsidR="000112F9">
        <w:t>have been reported</w:t>
      </w:r>
      <w:r w:rsidR="00E47900" w:rsidRPr="00186308">
        <w:t xml:space="preserve"> in the literature</w:t>
      </w:r>
      <w:r w:rsidR="000F2FD6" w:rsidRPr="00186308">
        <w:t>,</w:t>
      </w:r>
      <w:r w:rsidR="00E47900" w:rsidRPr="00186308">
        <w:fldChar w:fldCharType="begin" w:fldLock="1"/>
      </w:r>
      <w:r w:rsidR="00E47900" w:rsidRPr="00186308">
        <w:instrText>ADDIN CSL_CITATION {"citationItems":[{"id":"ITEM-1","itemData":{"DOI":"10.1002/9781118838860.ch9","ISBN":"9781118838860","abstract":"© 2014 by John Wiley &amp; Sons, Inc. All rights reserved.This chapter illustrates how cognitive interviewing studies, might be combined with quantitative methodologies in order to reveal a more detailed picture of question performance that neither methodology could portray on its own. It describes the history and key components of mixed research. The chapter also describes how mixed research can inform question evaluation, particularly as it applies to cognitive interviewing. Finally, it presents three examples of mixed research involving cognitive interviewing. The examples illustrate how mixed research can provide a broader understanding of question performance, thereby allowing for better decisions regarding question design and data quality-that is, whether a question should be altered or if the resulting variable should be utilized or interpreted in a particular way.","author":[{"dropping-particle":"","family":"Baena","given":"Isabel Benitez","non-dropping-particle":"","parse-names":false,"suffix":""},{"dropping-particle":"","family":"Padilla","given":"José Luis","non-dropping-particle":"","parse-names":false,"suffix":""}],"container-title":"Cognitive Interviewing Methodology","id":"ITEM-1","issued":{"date-parts":[["2014"]]},"page":"133-152","title":"Cognitive Interviewing in Mixed Research","type":"chapter"},"uris":["http://www.mendeley.com/documents/?uuid=4b934740-dfbe-4a86-80b4-d81185a79bc1"]},{"id":"ITEM-2","itemData":{"abstract":"Cognitive interviewing is a technique used to provide insight into learners’ perceptions in which individuals are invited to verbalize thoughts and feelings as they examine information. Use of cognitive interview techniques may improve the development of materials. The example presented in this manual is based on nutrition materials and processes using the Transtheoretical Model of Behavior Change to increase fruit and vegetable intakes of young adults aged 18 to 24 years. Lack of published cognitive interview guidelines for nutrition education projects prompted development of this manual.","author":[{"dropping-particle":"","family":"Shafer","given":"Kimberly","non-dropping-particle":"","parse-names":false,"suffix":""},{"dropping-particle":"","family":"Lohse","given":"Barbara","non-dropping-particle":"","parse-names":false,"suffix":""}],"container-title":"A nutrition education example","id":"ITEM-2","issued":{"date-parts":[["2005"]]},"page":"1-36","title":"Cognitive Interview Training Manual:","type":"article-journal"},"uris":["http://www.mendeley.com/documents/?uuid=2cb4f384-10e5-4872-9a57-b4bd70b5f41c"]},{"id":"ITEM-3","itemData":{"DOI":"10.1525/jer.2006.1.1.9","ISBN":"9781412918084","ISSN":"1556-2646","PMID":"115","abstract":"This guide is based on the document “Cognitive Interviewing and Questionnaire Design: A Training Manual,” by Gordon Willis (Working Paper #7, National Center for Health Statistics, March 1994). In revised form, this document describes the cognitive interviewing techniques appropriate for questionnaire development and testing, and which are used by the staff of Research Triangle Institute (Laboratory for Survey Methods and Measurement, Research Triangle Park, NC; Cognitive Research Laboratory, Rockville, MD). Although there are several cognitive laboratories currently in operation that may utilize various procedures, the specific methods described were adopted from those used at the National Center for Health Statistics (NCHS), Centers for Disease Control and Prevention, where the author previously worked as a senior staff member in the Questionnaire Design Research Laboratory.","author":[{"dropping-particle":"","family":"Willis","given":"Gordon B","non-dropping-particle":"","parse-names":false,"suffix":""}],"container-title":"Evaluation","id":"ITEM-3","issued":{"date-parts":[["1999"]]},"page":"1-37","title":"Cognitive Interviewing. A \"how to\" guide","type":"article-journal"},"uris":["http://www.mendeley.com/documents/?uuid=14ebf513-b81a-493d-a761-f132b4a2d7da"]},{"id":"ITEM-4","itemData":{"DOI":"10.1002/0471654728.ch2","ISBN":"0471458414","abstract":"Summary 10.1002/0471654728.ch2.abs In this chapter we adopt a more theoretic viewpoint relating to the development, testing, and evaluation of survey questions, stemming from the perspective commonly termed CASM (cognitive aspects of survey methodology). We examine two theoretical orientations that apply to cognitive interviewing and conclude that both are in current form somewhat limited in directing these practices.","author":[{"dropping-particle":"","family":"Willis","given":"Gordon B.","non-dropping-particle":"","parse-names":false,"suffix":""}],"container-title":"Methods for Testing and Evaluating Survey Questionnaires","id":"ITEM-4","issued":{"date-parts":[["2004"]]},"page":"23-42","title":"Cognitive Interviewing Revisited: A Useful Technique, in Theory?","type":"article-journal"},"uris":["http://www.mendeley.com/documents/?uuid=95d0e893-bfb2-4c8b-b3ac-b2974fb48c17"]}],"mendeley":{"formattedCitation":"&lt;sup&gt;1–4&lt;/sup&gt;","plainTextFormattedCitation":"1–4","previouslyFormattedCitation":"&lt;sup&gt;1–4&lt;/sup&gt;"},"properties":{"noteIndex":0},"schema":"https://github.com/citation-style-language/schema/raw/master/csl-citation.json"}</w:instrText>
      </w:r>
      <w:r w:rsidR="00E47900" w:rsidRPr="00186308">
        <w:fldChar w:fldCharType="separate"/>
      </w:r>
      <w:r w:rsidR="00E47900" w:rsidRPr="00186308">
        <w:rPr>
          <w:noProof/>
          <w:vertAlign w:val="superscript"/>
        </w:rPr>
        <w:t>1–4</w:t>
      </w:r>
      <w:r w:rsidR="00E47900" w:rsidRPr="00186308">
        <w:fldChar w:fldCharType="end"/>
      </w:r>
      <w:r w:rsidR="00E47900" w:rsidRPr="00186308">
        <w:t xml:space="preserve"> and variations exist. This is a framework for one approach</w:t>
      </w:r>
      <w:r w:rsidR="00D8512E" w:rsidRPr="00186308">
        <w:t xml:space="preserve"> for CI-PRO.</w:t>
      </w:r>
    </w:p>
    <w:p w14:paraId="53F380B9" w14:textId="77777777" w:rsidR="000F2FD6" w:rsidRPr="00186308" w:rsidRDefault="000F2FD6" w:rsidP="000F2FD6">
      <w:pPr>
        <w:jc w:val="both"/>
      </w:pPr>
    </w:p>
    <w:p w14:paraId="3F9E2182" w14:textId="77777777" w:rsidR="00D8512E" w:rsidRPr="00186308" w:rsidRDefault="00D8512E" w:rsidP="000F2FD6">
      <w:pPr>
        <w:jc w:val="both"/>
      </w:pPr>
      <w:r w:rsidRPr="00186308">
        <w:rPr>
          <w:b/>
        </w:rPr>
        <w:t>APPROACH:</w:t>
      </w:r>
      <w:r w:rsidRPr="00186308">
        <w:t xml:space="preserve"> The talk/read aloud approach is used to engage an observational and cognitive evaluation of how respondents interpret items. Explaining that the process i</w:t>
      </w:r>
      <w:r w:rsidR="000F2FD6" w:rsidRPr="00186308">
        <w:t>s</w:t>
      </w:r>
      <w:r w:rsidRPr="00186308">
        <w:t xml:space="preserve"> for the evaluator to understand the appropriateness of the </w:t>
      </w:r>
      <w:r w:rsidR="000112F9">
        <w:t>items/</w:t>
      </w:r>
      <w:r w:rsidRPr="00186308">
        <w:t>form is important to allow respondents to understand what is going on, and that they are not being evaluated. Patients read, complete and discuss individual chunks of the scale like the instructions, item stems or item responses, and explain what they think the meaning</w:t>
      </w:r>
      <w:r w:rsidR="000112F9">
        <w:t xml:space="preserve"> is, and how they interpret/calibrate their</w:t>
      </w:r>
      <w:r w:rsidRPr="00186308">
        <w:t xml:space="preserve"> respond. Actual completion of the item is advised to engage th</w:t>
      </w:r>
      <w:r w:rsidR="00732967" w:rsidRPr="00186308">
        <w:t>e real cognitive</w:t>
      </w:r>
      <w:r w:rsidR="000F2FD6" w:rsidRPr="00186308">
        <w:t xml:space="preserve"> process. Then probes are used</w:t>
      </w:r>
      <w:r w:rsidRPr="00186308">
        <w:t xml:space="preserve"> to explore in more depth how individual words, or the entire item, is understood</w:t>
      </w:r>
      <w:r w:rsidR="000112F9">
        <w:t>, its relevancy and how it is calibrated</w:t>
      </w:r>
      <w:r w:rsidRPr="00186308">
        <w:t>. Usually at the end it is useful to gather the respondent’s perceptions of the overall scale about the relevance/burden, whether important issues are missing and any final comments. This can inform the evaluators</w:t>
      </w:r>
      <w:r w:rsidR="000F2FD6" w:rsidRPr="00186308">
        <w:t>’</w:t>
      </w:r>
      <w:r w:rsidRPr="00186308">
        <w:t xml:space="preserve"> understanding of the overall content validity of the tool being assessed. </w:t>
      </w:r>
    </w:p>
    <w:p w14:paraId="30785789" w14:textId="77777777" w:rsidR="00D8512E" w:rsidRDefault="00D8512E" w:rsidP="000F2FD6">
      <w:pPr>
        <w:jc w:val="both"/>
      </w:pPr>
      <w:r w:rsidRPr="00186308">
        <w:t>The evaluator should both record</w:t>
      </w:r>
      <w:r w:rsidR="00732967" w:rsidRPr="00186308">
        <w:t xml:space="preserve"> the discussion and</w:t>
      </w:r>
      <w:r w:rsidRPr="00186308">
        <w:t xml:space="preserve"> </w:t>
      </w:r>
      <w:r w:rsidR="00732967" w:rsidRPr="00186308">
        <w:t>keep</w:t>
      </w:r>
      <w:r w:rsidRPr="00186308">
        <w:t xml:space="preserve"> notes</w:t>
      </w:r>
      <w:r w:rsidR="00732967" w:rsidRPr="00186308">
        <w:t>. The notes can be back</w:t>
      </w:r>
      <w:r w:rsidR="000F2FD6" w:rsidRPr="00186308">
        <w:t>-</w:t>
      </w:r>
      <w:r w:rsidR="00732967" w:rsidRPr="00186308">
        <w:t xml:space="preserve">up information, reflective </w:t>
      </w:r>
      <w:r w:rsidR="000F2FD6" w:rsidRPr="00186308">
        <w:t xml:space="preserve">of </w:t>
      </w:r>
      <w:r w:rsidR="00732967" w:rsidRPr="00186308">
        <w:t>the evaluators</w:t>
      </w:r>
      <w:r w:rsidR="000F2FD6" w:rsidRPr="00186308">
        <w:t>’</w:t>
      </w:r>
      <w:r w:rsidR="00732967" w:rsidRPr="00186308">
        <w:t xml:space="preserve"> impression and should reflect any nonverbal clues about how the respondent interprets or responds while navigating the measure or completing the items.</w:t>
      </w:r>
    </w:p>
    <w:p w14:paraId="13C2FE69" w14:textId="77777777" w:rsidR="000112F9" w:rsidRPr="00186308" w:rsidRDefault="000112F9" w:rsidP="000F2FD6">
      <w:pPr>
        <w:jc w:val="both"/>
      </w:pPr>
      <w:r>
        <w:t>These are some issues that are observed, probed and recorded.</w:t>
      </w:r>
    </w:p>
    <w:p w14:paraId="3AA6BB3E" w14:textId="77777777" w:rsidR="00466808" w:rsidRPr="00186308" w:rsidRDefault="00466808" w:rsidP="000F2FD6">
      <w:pPr>
        <w:jc w:val="both"/>
      </w:pPr>
      <w:r w:rsidRPr="00186308">
        <w:rPr>
          <w:b/>
        </w:rPr>
        <w:t>Read aloud:</w:t>
      </w:r>
      <w:r w:rsidRPr="00186308">
        <w:t xml:space="preserve"> Determine if it is difficult for the interviewers or respondent to read the</w:t>
      </w:r>
      <w:r w:rsidR="00B16328" w:rsidRPr="00186308">
        <w:t xml:space="preserve"> instructions or </w:t>
      </w:r>
      <w:r w:rsidRPr="00186308">
        <w:t xml:space="preserve">question. Allow the respondent to talk through their initial understanding of the instructions or item to explore their initial understanding prior to probing. Probe their understanding of </w:t>
      </w:r>
      <w:r w:rsidR="00B16328" w:rsidRPr="00186308">
        <w:t xml:space="preserve">what is stated, and the </w:t>
      </w:r>
      <w:r w:rsidRPr="00186308">
        <w:t>construct(s) being assessed.</w:t>
      </w:r>
      <w:r w:rsidR="00B16328" w:rsidRPr="00186308">
        <w:t xml:space="preserve"> Follow the instrument format in the order the respondent would</w:t>
      </w:r>
      <w:r w:rsidR="000F2FD6" w:rsidRPr="00186308">
        <w:t>:</w:t>
      </w:r>
      <w:r w:rsidR="00B16328" w:rsidRPr="00186308">
        <w:t xml:space="preserve"> title, instructions, and items.</w:t>
      </w:r>
    </w:p>
    <w:p w14:paraId="2969FCBC" w14:textId="77777777" w:rsidR="00B16328" w:rsidRPr="00186308" w:rsidRDefault="00B16328" w:rsidP="000F2FD6">
      <w:pPr>
        <w:jc w:val="both"/>
      </w:pPr>
      <w:r w:rsidRPr="00186308">
        <w:t>As you listen</w:t>
      </w:r>
      <w:r w:rsidR="000F2FD6" w:rsidRPr="00186308">
        <w:t>,</w:t>
      </w:r>
      <w:r w:rsidRPr="00186308">
        <w:t xml:space="preserve"> interpret and explore their response considering the following. Multiple problems may be identified per item and issues can be </w:t>
      </w:r>
      <w:r w:rsidR="00732967" w:rsidRPr="00186308">
        <w:t>subgrouped</w:t>
      </w:r>
      <w:r w:rsidRPr="00186308">
        <w:t xml:space="preserve"> or classified</w:t>
      </w:r>
      <w:r w:rsidR="00732967" w:rsidRPr="00186308">
        <w:t xml:space="preserve"> (later). Synthesis of the findings can be</w:t>
      </w:r>
      <w:r w:rsidR="000112F9">
        <w:t xml:space="preserve"> performed descriptively, for each</w:t>
      </w:r>
      <w:r w:rsidRPr="00186308">
        <w:t xml:space="preserve"> </w:t>
      </w:r>
      <w:proofErr w:type="gramStart"/>
      <w:r w:rsidRPr="00186308">
        <w:t>items</w:t>
      </w:r>
      <w:r w:rsidR="000112F9">
        <w:t xml:space="preserve"> </w:t>
      </w:r>
      <w:r w:rsidR="00732967" w:rsidRPr="00186308">
        <w:t>.</w:t>
      </w:r>
      <w:proofErr w:type="gramEnd"/>
      <w:r w:rsidR="00732967" w:rsidRPr="00186308">
        <w:t xml:space="preserve"> Coding of the issues that </w:t>
      </w:r>
      <w:r w:rsidR="000112F9">
        <w:t>a</w:t>
      </w:r>
      <w:r w:rsidR="00732967" w:rsidRPr="00186308">
        <w:t xml:space="preserve">rise can be performed </w:t>
      </w:r>
      <w:r w:rsidRPr="00186308">
        <w:t>as listed below.</w:t>
      </w:r>
      <w:r w:rsidR="00732967" w:rsidRPr="00186308">
        <w:t xml:space="preserve"> It may be necessary to develop additional codes</w:t>
      </w:r>
      <w:r w:rsidR="000112F9">
        <w:t xml:space="preserve"> if an issue cannot be fit with the following framework</w:t>
      </w:r>
      <w:r w:rsidR="00732967" w:rsidRPr="00186308">
        <w:t>.</w:t>
      </w:r>
    </w:p>
    <w:p w14:paraId="62118F83" w14:textId="77777777" w:rsidR="00466808" w:rsidRPr="00186308" w:rsidRDefault="00466808" w:rsidP="000F2FD6">
      <w:pPr>
        <w:jc w:val="both"/>
      </w:pPr>
      <w:r w:rsidRPr="00186308">
        <w:rPr>
          <w:b/>
        </w:rPr>
        <w:t>Clarity/comprehension:</w:t>
      </w:r>
      <w:r w:rsidRPr="00186308">
        <w:t xml:space="preserve"> Identify problems </w:t>
      </w:r>
      <w:r w:rsidR="00732967" w:rsidRPr="00186308">
        <w:t xml:space="preserve">in </w:t>
      </w:r>
      <w:r w:rsidR="00B16328" w:rsidRPr="00186308">
        <w:t xml:space="preserve">how </w:t>
      </w:r>
      <w:r w:rsidR="00732967" w:rsidRPr="00186308">
        <w:t xml:space="preserve">respondents understand </w:t>
      </w:r>
      <w:r w:rsidRPr="00186308">
        <w:t xml:space="preserve">the intent or meaning of the question. </w:t>
      </w:r>
      <w:r w:rsidR="00732967" w:rsidRPr="00186308">
        <w:t xml:space="preserve"> </w:t>
      </w:r>
      <w:r w:rsidRPr="00186308">
        <w:t>Explore the overall meaning of the individual words</w:t>
      </w:r>
      <w:r w:rsidR="00B16328" w:rsidRPr="00186308">
        <w:t>, and the entire instruction/item</w:t>
      </w:r>
      <w:r w:rsidR="00732967" w:rsidRPr="00186308">
        <w:t xml:space="preserve"> stem</w:t>
      </w:r>
      <w:r w:rsidR="00B16328" w:rsidRPr="00186308">
        <w:t>/responses</w:t>
      </w:r>
      <w:r w:rsidRPr="00186308">
        <w:t xml:space="preserve"> until it is clear how the item is interpreted; </w:t>
      </w:r>
      <w:r w:rsidR="00B16328" w:rsidRPr="00186308">
        <w:t xml:space="preserve">identify </w:t>
      </w:r>
      <w:r w:rsidRPr="00186308">
        <w:t xml:space="preserve">aspects/words </w:t>
      </w:r>
      <w:r w:rsidR="00B16328" w:rsidRPr="00186308">
        <w:t xml:space="preserve">that </w:t>
      </w:r>
      <w:r w:rsidRPr="00186308">
        <w:t>are ambiguous or variably interpreted.</w:t>
      </w:r>
    </w:p>
    <w:p w14:paraId="56BB7EE9" w14:textId="77777777" w:rsidR="00466808" w:rsidRPr="00186308" w:rsidRDefault="00466808" w:rsidP="000F2FD6">
      <w:pPr>
        <w:jc w:val="both"/>
      </w:pPr>
      <w:r w:rsidRPr="00186308">
        <w:rPr>
          <w:b/>
        </w:rPr>
        <w:t>Relevance:</w:t>
      </w:r>
      <w:r w:rsidRPr="00186308">
        <w:t xml:space="preserve"> </w:t>
      </w:r>
      <w:r w:rsidR="005160F9" w:rsidRPr="00186308">
        <w:t>D</w:t>
      </w:r>
      <w:r w:rsidRPr="00186308">
        <w:t>etermine the perception</w:t>
      </w:r>
      <w:r w:rsidR="00B16328" w:rsidRPr="00186308">
        <w:t xml:space="preserve"> of the respondent about the</w:t>
      </w:r>
      <w:r w:rsidRPr="00186308">
        <w:t xml:space="preserve"> relevance of</w:t>
      </w:r>
      <w:r w:rsidR="00E47900" w:rsidRPr="00186308">
        <w:t xml:space="preserve"> </w:t>
      </w:r>
      <w:r w:rsidR="00B16328" w:rsidRPr="00186308">
        <w:t xml:space="preserve">the </w:t>
      </w:r>
      <w:r w:rsidR="00E47900" w:rsidRPr="00186308">
        <w:t>overall construct</w:t>
      </w:r>
      <w:r w:rsidRPr="00186308">
        <w:t xml:space="preserve">; and then explore the reasons why </w:t>
      </w:r>
      <w:r w:rsidR="00732967" w:rsidRPr="00186308">
        <w:t xml:space="preserve">the </w:t>
      </w:r>
      <w:r w:rsidRPr="00186308">
        <w:t>item is or is not relevant</w:t>
      </w:r>
      <w:r w:rsidR="000112F9">
        <w:t xml:space="preserve"> to them and the construct being assessed.</w:t>
      </w:r>
    </w:p>
    <w:p w14:paraId="7200A72E" w14:textId="77777777" w:rsidR="00466808" w:rsidRPr="00186308" w:rsidRDefault="00466808" w:rsidP="000F2FD6">
      <w:pPr>
        <w:jc w:val="both"/>
      </w:pPr>
      <w:r w:rsidRPr="00186308">
        <w:rPr>
          <w:b/>
        </w:rPr>
        <w:t>Inadequate response definition:</w:t>
      </w:r>
      <w:r w:rsidRPr="00186308">
        <w:t xml:space="preserve"> 1. Explore whether the responses are aligned with posed question (root and stem concordance</w:t>
      </w:r>
      <w:r w:rsidR="00B16328" w:rsidRPr="00186308">
        <w:t>)</w:t>
      </w:r>
      <w:r w:rsidR="005160F9" w:rsidRPr="00186308">
        <w:t>;</w:t>
      </w:r>
      <w:r w:rsidR="00B16328" w:rsidRPr="00186308">
        <w:t xml:space="preserve"> 2</w:t>
      </w:r>
      <w:r w:rsidRPr="00186308">
        <w:t>. Determine if there are potentially meaningful responses that are not available to the respondent</w:t>
      </w:r>
      <w:r w:rsidR="000112F9">
        <w:t xml:space="preserve"> (response gaps)</w:t>
      </w:r>
      <w:r w:rsidR="005160F9" w:rsidRPr="00186308">
        <w:t>;</w:t>
      </w:r>
      <w:r w:rsidRPr="00186308">
        <w:t xml:space="preserve"> 3</w:t>
      </w:r>
      <w:r w:rsidR="005160F9" w:rsidRPr="00186308">
        <w:t>.</w:t>
      </w:r>
      <w:r w:rsidR="00B16328" w:rsidRPr="00186308">
        <w:t xml:space="preserve"> Determine</w:t>
      </w:r>
      <w:r w:rsidRPr="00186308">
        <w:t xml:space="preserve"> if there are problems with assumptions made or the underlying logic in processing the responses</w:t>
      </w:r>
      <w:r w:rsidR="000112F9">
        <w:t xml:space="preserve"> (logic fallacies)</w:t>
      </w:r>
      <w:r w:rsidRPr="00186308">
        <w:t xml:space="preserve">. </w:t>
      </w:r>
    </w:p>
    <w:p w14:paraId="1E1A7730" w14:textId="77777777" w:rsidR="00466808" w:rsidRPr="00186308" w:rsidRDefault="00466808" w:rsidP="000F2FD6">
      <w:pPr>
        <w:jc w:val="both"/>
      </w:pPr>
      <w:r w:rsidRPr="00186308">
        <w:rPr>
          <w:b/>
        </w:rPr>
        <w:t>Reference point:</w:t>
      </w:r>
      <w:r w:rsidRPr="00186308">
        <w:t xml:space="preserve"> </w:t>
      </w:r>
      <w:r w:rsidR="005160F9" w:rsidRPr="00186308">
        <w:t>E</w:t>
      </w:r>
      <w:r w:rsidRPr="00186308">
        <w:t>xplore how respondents interpret the item in terms of what reference standard they use when calibrating their response to an item</w:t>
      </w:r>
      <w:r w:rsidR="005160F9" w:rsidRPr="00186308">
        <w:t xml:space="preserve">: </w:t>
      </w:r>
      <w:r w:rsidRPr="00186308">
        <w:t xml:space="preserve">if they are clear about what time frame the evaluation is referring to, or if an item is being calibrated in one specific context and not another. Determine if the participant </w:t>
      </w:r>
      <w:r w:rsidR="00B16328" w:rsidRPr="00186308">
        <w:t>must</w:t>
      </w:r>
      <w:r w:rsidRPr="00186308">
        <w:t xml:space="preserve"> draw on prior knowledge or memories and whether these are </w:t>
      </w:r>
      <w:r w:rsidR="00B16328" w:rsidRPr="00186308">
        <w:t>accessible or</w:t>
      </w:r>
      <w:r w:rsidRPr="00186308">
        <w:t xml:space="preserve"> have changed over time. Assess if the “valuation” or reference standard has changed with time. Assess whether the wording/framing of the construct or reference point might lead to bias in the calibration.</w:t>
      </w:r>
    </w:p>
    <w:p w14:paraId="785B406E" w14:textId="77777777" w:rsidR="00466808" w:rsidRPr="00186308" w:rsidRDefault="00466808" w:rsidP="000F2FD6">
      <w:pPr>
        <w:jc w:val="both"/>
      </w:pPr>
      <w:r w:rsidRPr="00186308">
        <w:rPr>
          <w:b/>
        </w:rPr>
        <w:t>Perspective modifiers</w:t>
      </w:r>
      <w:r w:rsidR="005160F9" w:rsidRPr="00186308">
        <w:rPr>
          <w:b/>
        </w:rPr>
        <w:t>:</w:t>
      </w:r>
      <w:r w:rsidRPr="00186308">
        <w:t xml:space="preserve"> Explore reasons why one respondent might interpret an item differently than another based on their personal situation, personality, </w:t>
      </w:r>
      <w:r w:rsidR="00B16328" w:rsidRPr="00186308">
        <w:t>biology, gender</w:t>
      </w:r>
      <w:r w:rsidRPr="00186308">
        <w:t xml:space="preserve">, attitudes, beliefs, life or work roles, professional roles, experiences, culture or environmental factors. Assess whether items are acceptable across respondents who vary in these aspects. Assess potentially sensitive or biased items/wording. </w:t>
      </w:r>
    </w:p>
    <w:p w14:paraId="5FC3AD8D" w14:textId="77777777" w:rsidR="00466808" w:rsidRPr="00186308" w:rsidRDefault="00466808" w:rsidP="000F2FD6">
      <w:pPr>
        <w:jc w:val="both"/>
      </w:pPr>
      <w:r w:rsidRPr="00186308">
        <w:rPr>
          <w:b/>
        </w:rPr>
        <w:t>Calibration across items</w:t>
      </w:r>
      <w:r w:rsidR="005160F9" w:rsidRPr="00186308">
        <w:rPr>
          <w:b/>
        </w:rPr>
        <w:t>:</w:t>
      </w:r>
      <w:r w:rsidRPr="00186308">
        <w:t xml:space="preserve"> After exploring individual items determine whether responses to one item affected how another item on the scale was interpreted or calibrated</w:t>
      </w:r>
      <w:r w:rsidR="005160F9" w:rsidRPr="00186308">
        <w:t>.</w:t>
      </w:r>
    </w:p>
    <w:p w14:paraId="70E5E225" w14:textId="77777777" w:rsidR="00186308" w:rsidRPr="00186308" w:rsidRDefault="00186308" w:rsidP="000F2FD6">
      <w:pPr>
        <w:jc w:val="both"/>
      </w:pPr>
    </w:p>
    <w:p w14:paraId="3E21A32C" w14:textId="77777777" w:rsidR="00D33379" w:rsidRPr="00186308" w:rsidRDefault="00D33379" w:rsidP="000F2FD6">
      <w:pPr>
        <w:jc w:val="both"/>
      </w:pPr>
      <w:r w:rsidRPr="00186308">
        <w:t>Participants can have difficulty calibrating their responses to items on an outcome measure for a variety of reasons. The following is a list of major categories.</w:t>
      </w:r>
      <w:r w:rsidR="00E47900" w:rsidRPr="00186308">
        <w:t xml:space="preserve">  </w:t>
      </w:r>
    </w:p>
    <w:p w14:paraId="2B7DA108" w14:textId="77777777" w:rsidR="00D33379" w:rsidRPr="00186308" w:rsidRDefault="003F21B2" w:rsidP="000F2FD6">
      <w:pPr>
        <w:jc w:val="both"/>
      </w:pPr>
      <w:r w:rsidRPr="00186308">
        <w:rPr>
          <w:b/>
        </w:rPr>
        <w:t>Clarity/</w:t>
      </w:r>
      <w:r w:rsidR="00D33379" w:rsidRPr="00186308">
        <w:rPr>
          <w:b/>
        </w:rPr>
        <w:t>Comprehension (C)</w:t>
      </w:r>
      <w:r w:rsidR="00D33379" w:rsidRPr="00186308">
        <w:rPr>
          <w:b/>
        </w:rPr>
        <w:cr/>
      </w:r>
      <w:r w:rsidR="00D33379" w:rsidRPr="00186308">
        <w:t>Refers to when the term</w:t>
      </w:r>
      <w:r w:rsidR="00423F66" w:rsidRPr="00186308">
        <w:t>s/words</w:t>
      </w:r>
      <w:r w:rsidR="00D33379" w:rsidRPr="00186308">
        <w:t xml:space="preserve"> used in an item</w:t>
      </w:r>
      <w:r w:rsidR="00423F66" w:rsidRPr="00186308">
        <w:t xml:space="preserve"> or response</w:t>
      </w:r>
      <w:r w:rsidR="00D33379" w:rsidRPr="00186308">
        <w:t xml:space="preserve"> </w:t>
      </w:r>
      <w:r w:rsidR="00423F66" w:rsidRPr="00186308">
        <w:t>are</w:t>
      </w:r>
      <w:r w:rsidR="00D33379" w:rsidRPr="00186308">
        <w:t xml:space="preserve"> </w:t>
      </w:r>
      <w:r w:rsidR="006459BC" w:rsidRPr="00186308">
        <w:t>ambiguous</w:t>
      </w:r>
      <w:r w:rsidR="00423F66" w:rsidRPr="00186308">
        <w:t xml:space="preserve"> </w:t>
      </w:r>
      <w:r w:rsidR="00B16328" w:rsidRPr="00186308">
        <w:t>or</w:t>
      </w:r>
      <w:r w:rsidR="00D33379" w:rsidRPr="00186308">
        <w:t xml:space="preserve"> incorrectly interpreted by respondents.</w:t>
      </w:r>
    </w:p>
    <w:p w14:paraId="0D9785C7" w14:textId="77777777" w:rsidR="00D33379" w:rsidRPr="00186308" w:rsidRDefault="00D33379" w:rsidP="000F2FD6">
      <w:pPr>
        <w:jc w:val="both"/>
      </w:pPr>
      <w:r w:rsidRPr="00186308">
        <w:rPr>
          <w:b/>
        </w:rPr>
        <w:t>Relevance (</w:t>
      </w:r>
      <w:r w:rsidR="006459BC" w:rsidRPr="00186308">
        <w:rPr>
          <w:b/>
        </w:rPr>
        <w:t>R</w:t>
      </w:r>
      <w:r w:rsidRPr="00186308">
        <w:rPr>
          <w:b/>
        </w:rPr>
        <w:t>)</w:t>
      </w:r>
      <w:r w:rsidRPr="00186308">
        <w:cr/>
        <w:t>Refers to when an item is not relevant to participants (e.g.</w:t>
      </w:r>
      <w:r w:rsidR="005160F9" w:rsidRPr="00186308">
        <w:t>,</w:t>
      </w:r>
      <w:r w:rsidRPr="00186308">
        <w:t xml:space="preserve"> task not possible or </w:t>
      </w:r>
      <w:r w:rsidR="000112F9">
        <w:t xml:space="preserve">not </w:t>
      </w:r>
      <w:r w:rsidRPr="00186308">
        <w:t>important in their circumstances)</w:t>
      </w:r>
    </w:p>
    <w:p w14:paraId="08F3DCEB" w14:textId="77777777" w:rsidR="00D33379" w:rsidRPr="00186308" w:rsidRDefault="00D33379" w:rsidP="000F2FD6">
      <w:pPr>
        <w:jc w:val="both"/>
        <w:rPr>
          <w:b/>
        </w:rPr>
      </w:pPr>
      <w:r w:rsidRPr="00186308">
        <w:rPr>
          <w:b/>
        </w:rPr>
        <w:t>Inadequate response definition</w:t>
      </w:r>
      <w:r w:rsidR="006459BC" w:rsidRPr="00186308">
        <w:rPr>
          <w:b/>
        </w:rPr>
        <w:t xml:space="preserve"> (IR)</w:t>
      </w:r>
    </w:p>
    <w:p w14:paraId="0E6ECAA3" w14:textId="77777777" w:rsidR="006459BC" w:rsidRPr="00186308" w:rsidRDefault="006459BC" w:rsidP="000F2FD6">
      <w:pPr>
        <w:jc w:val="both"/>
      </w:pPr>
      <w:r w:rsidRPr="00186308">
        <w:t>Refers to when response options provided are</w:t>
      </w:r>
      <w:r w:rsidR="005160F9" w:rsidRPr="00186308">
        <w:t>:</w:t>
      </w:r>
      <w:r w:rsidRPr="00186308">
        <w:t xml:space="preserve"> </w:t>
      </w:r>
      <w:r w:rsidR="00423F66" w:rsidRPr="00186308">
        <w:t xml:space="preserve">1. </w:t>
      </w:r>
      <w:r w:rsidRPr="00186308">
        <w:t xml:space="preserve">not mutually </w:t>
      </w:r>
      <w:r w:rsidR="00B6650D" w:rsidRPr="00186308">
        <w:t>ex</w:t>
      </w:r>
      <w:r w:rsidR="000112F9">
        <w:t>clusive</w:t>
      </w:r>
      <w:r w:rsidR="00B6650D" w:rsidRPr="00186308">
        <w:t xml:space="preserve"> or</w:t>
      </w:r>
      <w:r w:rsidRPr="00186308">
        <w:t xml:space="preserve"> have missing options</w:t>
      </w:r>
      <w:r w:rsidR="005160F9" w:rsidRPr="00186308">
        <w:t>,</w:t>
      </w:r>
      <w:r w:rsidR="00423F66" w:rsidRPr="00186308">
        <w:t xml:space="preserve"> or 2. are not matched to the questions posed</w:t>
      </w:r>
      <w:r w:rsidR="000112F9">
        <w:t>; 3) have logic errors.</w:t>
      </w:r>
    </w:p>
    <w:p w14:paraId="4B608995" w14:textId="77777777" w:rsidR="000D158B" w:rsidRPr="00186308" w:rsidRDefault="000D158B" w:rsidP="000F2FD6">
      <w:pPr>
        <w:jc w:val="both"/>
      </w:pPr>
      <w:r w:rsidRPr="00186308">
        <w:rPr>
          <w:b/>
        </w:rPr>
        <w:t>Reference Point (RP)</w:t>
      </w:r>
      <w:r w:rsidRPr="00186308">
        <w:t xml:space="preserve"> </w:t>
      </w:r>
      <w:r w:rsidRPr="00186308">
        <w:cr/>
        <w:t>Refers to when participants have difficulty calibrating their responses to an item because their reference points have changed (e.g.</w:t>
      </w:r>
      <w:r w:rsidR="005160F9" w:rsidRPr="00186308">
        <w:t>,</w:t>
      </w:r>
      <w:r w:rsidRPr="00186308">
        <w:t xml:space="preserve"> response shift) or the item has unclear reference boundaries (e.g.</w:t>
      </w:r>
      <w:r w:rsidR="005160F9" w:rsidRPr="00186308">
        <w:t>,</w:t>
      </w:r>
      <w:r w:rsidRPr="00186308">
        <w:t xml:space="preserve"> time interval or context). Includes when participants are unable to recall information needed </w:t>
      </w:r>
      <w:r w:rsidR="00B16328" w:rsidRPr="00186308">
        <w:t>to</w:t>
      </w:r>
      <w:r w:rsidRPr="00186308">
        <w:t xml:space="preserve"> calibrate their response.</w:t>
      </w:r>
    </w:p>
    <w:p w14:paraId="518B0613" w14:textId="77777777" w:rsidR="006459BC" w:rsidRPr="00186308" w:rsidRDefault="006459BC" w:rsidP="000F2FD6">
      <w:pPr>
        <w:jc w:val="both"/>
      </w:pPr>
      <w:r w:rsidRPr="00186308">
        <w:rPr>
          <w:b/>
        </w:rPr>
        <w:t>Perspective Modifiers (PM)</w:t>
      </w:r>
      <w:r w:rsidRPr="00186308">
        <w:cr/>
        <w:t>Perspective modification occurs when items are interpreted differently by respondents based on a personal factor, life experience or environmental factor.</w:t>
      </w:r>
      <w:r w:rsidR="00190121" w:rsidRPr="00186308">
        <w:t xml:space="preserve"> </w:t>
      </w:r>
    </w:p>
    <w:p w14:paraId="5D74E4C9" w14:textId="77777777" w:rsidR="005160F9" w:rsidRPr="00186308" w:rsidRDefault="003F21B2" w:rsidP="003F21B2">
      <w:r w:rsidRPr="00186308">
        <w:rPr>
          <w:b/>
        </w:rPr>
        <w:t>Calibration Across Items (CAI)</w:t>
      </w:r>
      <w:r w:rsidRPr="00186308">
        <w:cr/>
        <w:t>Refers to when the response to one item is modified by the patient’s response to a previous item.</w:t>
      </w:r>
    </w:p>
    <w:p w14:paraId="6879E3B6" w14:textId="77777777" w:rsidR="005160F9" w:rsidRPr="00186308" w:rsidRDefault="005160F9" w:rsidP="003F21B2"/>
    <w:p w14:paraId="27219E27" w14:textId="77777777" w:rsidR="003F21B2" w:rsidRPr="00186308" w:rsidRDefault="005160F9" w:rsidP="00186308">
      <w:pPr>
        <w:jc w:val="center"/>
      </w:pPr>
      <w:r w:rsidRPr="00186308">
        <w:t>References:</w:t>
      </w:r>
    </w:p>
    <w:p w14:paraId="4FBCFA43" w14:textId="77777777" w:rsidR="00E47900" w:rsidRPr="00186308" w:rsidRDefault="00E47900" w:rsidP="00E47900">
      <w:pPr>
        <w:widowControl w:val="0"/>
        <w:autoSpaceDE w:val="0"/>
        <w:autoSpaceDN w:val="0"/>
        <w:adjustRightInd w:val="0"/>
        <w:spacing w:line="240" w:lineRule="auto"/>
        <w:ind w:left="640" w:hanging="640"/>
        <w:rPr>
          <w:rFonts w:ascii="Calibri" w:hAnsi="Calibri" w:cs="Times New Roman"/>
          <w:noProof/>
        </w:rPr>
      </w:pPr>
      <w:r w:rsidRPr="00186308">
        <w:fldChar w:fldCharType="begin" w:fldLock="1"/>
      </w:r>
      <w:r w:rsidRPr="00186308">
        <w:instrText xml:space="preserve">ADDIN Mendeley Bibliography CSL_BIBLIOGRAPHY </w:instrText>
      </w:r>
      <w:r w:rsidRPr="00186308">
        <w:fldChar w:fldCharType="separate"/>
      </w:r>
      <w:r w:rsidRPr="00186308">
        <w:rPr>
          <w:rFonts w:ascii="Calibri" w:hAnsi="Calibri" w:cs="Times New Roman"/>
          <w:noProof/>
        </w:rPr>
        <w:t xml:space="preserve">1. </w:t>
      </w:r>
      <w:r w:rsidRPr="00186308">
        <w:rPr>
          <w:rFonts w:ascii="Calibri" w:hAnsi="Calibri" w:cs="Times New Roman"/>
          <w:noProof/>
        </w:rPr>
        <w:tab/>
        <w:t xml:space="preserve">Baena IB, Padilla JL. Cognitive Interviewing in Mixed Research. In: </w:t>
      </w:r>
      <w:r w:rsidRPr="00186308">
        <w:rPr>
          <w:rFonts w:ascii="Calibri" w:hAnsi="Calibri" w:cs="Times New Roman"/>
          <w:i/>
          <w:iCs/>
          <w:noProof/>
        </w:rPr>
        <w:t>Cognitive Interviewing Methodology</w:t>
      </w:r>
      <w:r w:rsidRPr="00186308">
        <w:rPr>
          <w:rFonts w:ascii="Calibri" w:hAnsi="Calibri" w:cs="Times New Roman"/>
          <w:noProof/>
        </w:rPr>
        <w:t>. ; 2014:133-152. doi:10.1002/9781118838860.ch9.</w:t>
      </w:r>
    </w:p>
    <w:p w14:paraId="1FD9A9BE" w14:textId="77777777" w:rsidR="00E47900" w:rsidRPr="00186308" w:rsidRDefault="00E47900" w:rsidP="00E47900">
      <w:pPr>
        <w:widowControl w:val="0"/>
        <w:autoSpaceDE w:val="0"/>
        <w:autoSpaceDN w:val="0"/>
        <w:adjustRightInd w:val="0"/>
        <w:spacing w:line="240" w:lineRule="auto"/>
        <w:ind w:left="640" w:hanging="640"/>
        <w:rPr>
          <w:rFonts w:ascii="Calibri" w:hAnsi="Calibri" w:cs="Times New Roman"/>
          <w:noProof/>
        </w:rPr>
      </w:pPr>
      <w:r w:rsidRPr="00186308">
        <w:rPr>
          <w:rFonts w:ascii="Calibri" w:hAnsi="Calibri" w:cs="Times New Roman"/>
          <w:noProof/>
        </w:rPr>
        <w:t xml:space="preserve">2. </w:t>
      </w:r>
      <w:r w:rsidRPr="00186308">
        <w:rPr>
          <w:rFonts w:ascii="Calibri" w:hAnsi="Calibri" w:cs="Times New Roman"/>
          <w:noProof/>
        </w:rPr>
        <w:tab/>
        <w:t xml:space="preserve">Shafer K, Lohse B. Cognitive Interview Training Manual: </w:t>
      </w:r>
      <w:r w:rsidRPr="00186308">
        <w:rPr>
          <w:rFonts w:ascii="Calibri" w:hAnsi="Calibri" w:cs="Times New Roman"/>
          <w:i/>
          <w:iCs/>
          <w:noProof/>
        </w:rPr>
        <w:t>A Nutr Educ Ex</w:t>
      </w:r>
      <w:r w:rsidRPr="00186308">
        <w:rPr>
          <w:rFonts w:ascii="Calibri" w:hAnsi="Calibri" w:cs="Times New Roman"/>
          <w:noProof/>
        </w:rPr>
        <w:t>. 2005:1-36.</w:t>
      </w:r>
    </w:p>
    <w:p w14:paraId="7C51A9D9" w14:textId="77777777" w:rsidR="00E47900" w:rsidRPr="00186308" w:rsidRDefault="00E47900" w:rsidP="00E47900">
      <w:pPr>
        <w:widowControl w:val="0"/>
        <w:autoSpaceDE w:val="0"/>
        <w:autoSpaceDN w:val="0"/>
        <w:adjustRightInd w:val="0"/>
        <w:spacing w:line="240" w:lineRule="auto"/>
        <w:ind w:left="640" w:hanging="640"/>
        <w:rPr>
          <w:rFonts w:ascii="Calibri" w:hAnsi="Calibri" w:cs="Times New Roman"/>
          <w:noProof/>
        </w:rPr>
      </w:pPr>
      <w:r w:rsidRPr="00186308">
        <w:rPr>
          <w:rFonts w:ascii="Calibri" w:hAnsi="Calibri" w:cs="Times New Roman"/>
          <w:noProof/>
        </w:rPr>
        <w:t xml:space="preserve">3. </w:t>
      </w:r>
      <w:r w:rsidRPr="00186308">
        <w:rPr>
          <w:rFonts w:ascii="Calibri" w:hAnsi="Calibri" w:cs="Times New Roman"/>
          <w:noProof/>
        </w:rPr>
        <w:tab/>
        <w:t xml:space="preserve">Willis GB. Cognitive Interviewing. A “how to” guide. </w:t>
      </w:r>
      <w:r w:rsidRPr="00186308">
        <w:rPr>
          <w:rFonts w:ascii="Calibri" w:hAnsi="Calibri" w:cs="Times New Roman"/>
          <w:i/>
          <w:iCs/>
          <w:noProof/>
        </w:rPr>
        <w:t>Evaluation</w:t>
      </w:r>
      <w:r w:rsidRPr="00186308">
        <w:rPr>
          <w:rFonts w:ascii="Calibri" w:hAnsi="Calibri" w:cs="Times New Roman"/>
          <w:noProof/>
        </w:rPr>
        <w:t>. 1999:1-37. doi:10.1525/jer.2006.1.1.9.</w:t>
      </w:r>
    </w:p>
    <w:p w14:paraId="63EDE324" w14:textId="77777777" w:rsidR="00E47900" w:rsidRPr="00186308" w:rsidRDefault="00E47900" w:rsidP="00E47900">
      <w:pPr>
        <w:widowControl w:val="0"/>
        <w:autoSpaceDE w:val="0"/>
        <w:autoSpaceDN w:val="0"/>
        <w:adjustRightInd w:val="0"/>
        <w:spacing w:line="240" w:lineRule="auto"/>
        <w:ind w:left="640" w:hanging="640"/>
        <w:rPr>
          <w:rFonts w:ascii="Calibri" w:hAnsi="Calibri"/>
          <w:noProof/>
        </w:rPr>
      </w:pPr>
      <w:r w:rsidRPr="00186308">
        <w:rPr>
          <w:rFonts w:ascii="Calibri" w:hAnsi="Calibri" w:cs="Times New Roman"/>
          <w:noProof/>
        </w:rPr>
        <w:t xml:space="preserve">4. </w:t>
      </w:r>
      <w:r w:rsidRPr="00186308">
        <w:rPr>
          <w:rFonts w:ascii="Calibri" w:hAnsi="Calibri" w:cs="Times New Roman"/>
          <w:noProof/>
        </w:rPr>
        <w:tab/>
        <w:t xml:space="preserve">Willis GB. Cognitive Interviewing Revisited: A Useful Technique, in Theory? </w:t>
      </w:r>
      <w:r w:rsidRPr="00186308">
        <w:rPr>
          <w:rFonts w:ascii="Calibri" w:hAnsi="Calibri" w:cs="Times New Roman"/>
          <w:i/>
          <w:iCs/>
          <w:noProof/>
        </w:rPr>
        <w:t>Methods Test Eval Surv Quest</w:t>
      </w:r>
      <w:r w:rsidRPr="00186308">
        <w:rPr>
          <w:rFonts w:ascii="Calibri" w:hAnsi="Calibri" w:cs="Times New Roman"/>
          <w:noProof/>
        </w:rPr>
        <w:t>. 2004:23-42. doi:10.1002/0471654728.ch2.</w:t>
      </w:r>
    </w:p>
    <w:p w14:paraId="382FB8EA" w14:textId="77777777" w:rsidR="00190121" w:rsidRPr="000F2FD6" w:rsidRDefault="00E47900" w:rsidP="006459BC">
      <w:pPr>
        <w:rPr>
          <w:sz w:val="24"/>
          <w:szCs w:val="24"/>
        </w:rPr>
      </w:pPr>
      <w:r w:rsidRPr="00186308">
        <w:fldChar w:fldCharType="end"/>
      </w:r>
      <w:bookmarkEnd w:id="0"/>
    </w:p>
    <w:sectPr w:rsidR="00190121" w:rsidRPr="000F2F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A000" w14:textId="77777777" w:rsidR="00581770" w:rsidRDefault="00581770" w:rsidP="006459BC">
      <w:pPr>
        <w:spacing w:after="0" w:line="240" w:lineRule="auto"/>
      </w:pPr>
      <w:r>
        <w:separator/>
      </w:r>
    </w:p>
  </w:endnote>
  <w:endnote w:type="continuationSeparator" w:id="0">
    <w:p w14:paraId="6EF3FB27" w14:textId="77777777" w:rsidR="00581770" w:rsidRDefault="00581770" w:rsidP="006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C4DF" w14:textId="77777777" w:rsidR="003D1B0A" w:rsidRDefault="000F2FD6">
    <w:pPr>
      <w:pStyle w:val="Footer"/>
    </w:pPr>
    <w:r>
      <w:t>©</w:t>
    </w:r>
    <w:r w:rsidR="003D1B0A">
      <w:t xml:space="preserve">J MacDermid 2018 </w:t>
    </w:r>
    <w:r>
      <w:tab/>
    </w:r>
    <w:r>
      <w:tab/>
      <w:t xml:space="preserve">Page </w:t>
    </w:r>
    <w:r>
      <w:fldChar w:fldCharType="begin"/>
    </w:r>
    <w:r>
      <w:instrText xml:space="preserve"> PAGE   \* MERGEFORMAT </w:instrText>
    </w:r>
    <w:r>
      <w:fldChar w:fldCharType="separate"/>
    </w:r>
    <w:r w:rsidR="00B332FD">
      <w:rPr>
        <w:noProof/>
      </w:rPr>
      <w:t>3</w:t>
    </w:r>
    <w:r>
      <w:rPr>
        <w:noProof/>
      </w:rPr>
      <w:fldChar w:fldCharType="end"/>
    </w:r>
  </w:p>
  <w:p w14:paraId="38EE6D03" w14:textId="77777777" w:rsidR="006459BC" w:rsidRDefault="0064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FCE03" w14:textId="77777777" w:rsidR="00581770" w:rsidRDefault="00581770" w:rsidP="006459BC">
      <w:pPr>
        <w:spacing w:after="0" w:line="240" w:lineRule="auto"/>
      </w:pPr>
      <w:r>
        <w:separator/>
      </w:r>
    </w:p>
  </w:footnote>
  <w:footnote w:type="continuationSeparator" w:id="0">
    <w:p w14:paraId="3858A9A5" w14:textId="77777777" w:rsidR="00581770" w:rsidRDefault="00581770" w:rsidP="00645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2F33B9-14E3-43AF-B3F9-D7357770D0A1}"/>
    <w:docVar w:name="dgnword-eventsink" w:val="655474592"/>
    <w:docVar w:name="dgnword-lastRevisionsView" w:val="0"/>
  </w:docVars>
  <w:rsids>
    <w:rsidRoot w:val="00D33379"/>
    <w:rsid w:val="000112F9"/>
    <w:rsid w:val="000D158B"/>
    <w:rsid w:val="000F2FD6"/>
    <w:rsid w:val="00147CDD"/>
    <w:rsid w:val="001820AA"/>
    <w:rsid w:val="00186308"/>
    <w:rsid w:val="00190121"/>
    <w:rsid w:val="001C0655"/>
    <w:rsid w:val="00281E48"/>
    <w:rsid w:val="002C43DF"/>
    <w:rsid w:val="002D3884"/>
    <w:rsid w:val="002D4AA9"/>
    <w:rsid w:val="002E4D7E"/>
    <w:rsid w:val="003D1B0A"/>
    <w:rsid w:val="003E0B3B"/>
    <w:rsid w:val="003F21B2"/>
    <w:rsid w:val="00423F66"/>
    <w:rsid w:val="004559A0"/>
    <w:rsid w:val="00466808"/>
    <w:rsid w:val="0048535F"/>
    <w:rsid w:val="004A3C2C"/>
    <w:rsid w:val="005160F9"/>
    <w:rsid w:val="00581770"/>
    <w:rsid w:val="005F15CB"/>
    <w:rsid w:val="006459BC"/>
    <w:rsid w:val="006718B1"/>
    <w:rsid w:val="006B0E61"/>
    <w:rsid w:val="00714BF2"/>
    <w:rsid w:val="00732967"/>
    <w:rsid w:val="0085475D"/>
    <w:rsid w:val="00937432"/>
    <w:rsid w:val="00990BDB"/>
    <w:rsid w:val="00A068F9"/>
    <w:rsid w:val="00A51271"/>
    <w:rsid w:val="00A7287D"/>
    <w:rsid w:val="00AA15AD"/>
    <w:rsid w:val="00AC57CD"/>
    <w:rsid w:val="00B05384"/>
    <w:rsid w:val="00B16328"/>
    <w:rsid w:val="00B332FD"/>
    <w:rsid w:val="00B6650D"/>
    <w:rsid w:val="00D33379"/>
    <w:rsid w:val="00D6380A"/>
    <w:rsid w:val="00D8512E"/>
    <w:rsid w:val="00E47900"/>
    <w:rsid w:val="00F4255D"/>
    <w:rsid w:val="00F8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A95A9"/>
  <w15:chartTrackingRefBased/>
  <w15:docId w15:val="{6390EE12-063C-48B2-A37E-22646DBF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9BC"/>
  </w:style>
  <w:style w:type="paragraph" w:styleId="Footer">
    <w:name w:val="footer"/>
    <w:basedOn w:val="Normal"/>
    <w:link w:val="FooterChar"/>
    <w:uiPriority w:val="99"/>
    <w:unhideWhenUsed/>
    <w:rsid w:val="0064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3891-2101-4A5E-B5DF-BF6398B0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Christine Macdermid</dc:creator>
  <cp:keywords/>
  <dc:description/>
  <cp:lastModifiedBy>joy macdermid</cp:lastModifiedBy>
  <cp:revision>8</cp:revision>
  <dcterms:created xsi:type="dcterms:W3CDTF">2018-10-17T14:29:00Z</dcterms:created>
  <dcterms:modified xsi:type="dcterms:W3CDTF">2019-04-26T22:23:00Z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ee32c429-6791-363b-801f-c6a08fbbbd16</vt:lpwstr>
  </property>
  <property fmtid="{D5CDD505-2E9C-101B-9397-08002B2CF9AE}" pid="4" name="Mendeley Citation Style_1">
    <vt:lpwstr>http://www.zotero.org/styles/the-journal-of-bone-and-joint-surgery</vt:lpwstr>
  </property>
</Properties>
</file>